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67C90" w14:textId="5A78B4FD" w:rsidR="00861031" w:rsidRDefault="00861031" w:rsidP="00861031">
      <w:pPr>
        <w:pStyle w:val="Title"/>
      </w:pPr>
      <w:r w:rsidRPr="00861031">
        <w:t xml:space="preserve">Nature Repair Market </w:t>
      </w:r>
      <w:r>
        <w:t>C</w:t>
      </w:r>
      <w:r w:rsidRPr="00861031">
        <w:t xml:space="preserve">onsultation </w:t>
      </w:r>
    </w:p>
    <w:p w14:paraId="2A29F5A3" w14:textId="122A0A54" w:rsidR="00861031" w:rsidRPr="00861031" w:rsidRDefault="00861031" w:rsidP="00861031">
      <w:pPr>
        <w:pStyle w:val="Title"/>
        <w:rPr>
          <w:sz w:val="32"/>
          <w:szCs w:val="32"/>
        </w:rPr>
      </w:pPr>
      <w:r w:rsidRPr="00861031">
        <w:rPr>
          <w:sz w:val="32"/>
          <w:szCs w:val="32"/>
        </w:rPr>
        <w:t>What we raised on your behalf</w:t>
      </w:r>
    </w:p>
    <w:p w14:paraId="26C14369" w14:textId="77777777" w:rsidR="00861031" w:rsidRPr="00861031" w:rsidRDefault="00861031" w:rsidP="00861031">
      <w:r w:rsidRPr="00861031">
        <w:t>15 May 2026 | EIANZ meeting with DCCEEW</w:t>
      </w:r>
    </w:p>
    <w:p w14:paraId="5F43DAC6" w14:textId="77777777" w:rsidR="00861031" w:rsidRPr="00861031" w:rsidRDefault="00000000" w:rsidP="00861031">
      <w:r>
        <w:pict w14:anchorId="143B5D6D">
          <v:rect id="_x0000_i1025" style="width:0;height:1.5pt" o:hralign="center" o:hrstd="t" o:hr="t" fillcolor="#a0a0a0" stroked="f"/>
        </w:pict>
      </w:r>
    </w:p>
    <w:p w14:paraId="492CD0A5" w14:textId="77777777" w:rsidR="00861031" w:rsidRPr="00861031" w:rsidRDefault="00861031" w:rsidP="00861031">
      <w:r w:rsidRPr="00861031">
        <w:t>EIANZ met with the Department of Climate Change, Energy, the Environment and Water (DCCEEW) on 15 May to provide feedback across the suite of Nature Repair Market issues papers released in April 2026. The session was attended by EIANZ members with expertise in biodiversity offsets, ecological assessment and natural resource management from NSW, Queensland and WA, with Jonathon Miller attending as CEO.</w:t>
      </w:r>
    </w:p>
    <w:p w14:paraId="574D274D" w14:textId="698A3731" w:rsidR="00861031" w:rsidRPr="00861031" w:rsidRDefault="00861031" w:rsidP="00861031">
      <w:r w:rsidRPr="00861031">
        <w:t xml:space="preserve">The discussion was open, collaborative and substantive. DCCEEW was receptive throughout, and several issues we raised were acknowledged as matters still being worked through. We made clear that EIANZ members are available for further targeted input </w:t>
      </w:r>
      <w:r>
        <w:t>–</w:t>
      </w:r>
      <w:r w:rsidRPr="00861031">
        <w:t xml:space="preserve"> including dedicated sessions on specific policy design questions </w:t>
      </w:r>
      <w:r>
        <w:t>–</w:t>
      </w:r>
      <w:r w:rsidRPr="00861031">
        <w:t xml:space="preserve"> as the framework develops.</w:t>
      </w:r>
    </w:p>
    <w:p w14:paraId="45E99B40" w14:textId="77777777" w:rsidR="00861031" w:rsidRPr="00861031" w:rsidRDefault="00861031" w:rsidP="00861031">
      <w:r w:rsidRPr="00861031">
        <w:t>Here is a summary of the key issues we raised.</w:t>
      </w:r>
    </w:p>
    <w:p w14:paraId="2DF5BDC5" w14:textId="77777777" w:rsidR="00861031" w:rsidRPr="00861031" w:rsidRDefault="00000000" w:rsidP="00861031">
      <w:r>
        <w:pict w14:anchorId="447BD43F">
          <v:rect id="_x0000_i1026" style="width:0;height:1.5pt" o:hralign="center" o:hrstd="t" o:hr="t" fillcolor="#a0a0a0" stroked="f"/>
        </w:pict>
      </w:r>
    </w:p>
    <w:p w14:paraId="477DE809" w14:textId="67286477" w:rsidR="00861031" w:rsidRPr="00861031" w:rsidRDefault="00861031" w:rsidP="00861031">
      <w:pPr>
        <w:rPr>
          <w:b/>
          <w:bCs/>
        </w:rPr>
      </w:pPr>
      <w:r w:rsidRPr="00861031">
        <w:rPr>
          <w:b/>
          <w:bCs/>
        </w:rPr>
        <w:t xml:space="preserve">1. Federal, state and territory interaction </w:t>
      </w:r>
      <w:r>
        <w:rPr>
          <w:b/>
          <w:bCs/>
        </w:rPr>
        <w:t>–</w:t>
      </w:r>
      <w:r w:rsidRPr="00861031">
        <w:rPr>
          <w:b/>
          <w:bCs/>
        </w:rPr>
        <w:t xml:space="preserve"> the risk of undermining each other</w:t>
      </w:r>
    </w:p>
    <w:p w14:paraId="443B8752" w14:textId="72997A1A" w:rsidR="00861031" w:rsidRPr="00861031" w:rsidRDefault="00861031" w:rsidP="00861031">
      <w:r w:rsidRPr="00861031">
        <w:t xml:space="preserve">Our most fundamental governance concern is that the Commonwealth market and state-based offset schemes could inadvertently work against each other </w:t>
      </w:r>
      <w:r>
        <w:t>–</w:t>
      </w:r>
      <w:r w:rsidRPr="00861031">
        <w:t xml:space="preserve"> through competing supply dynamics, different definitions of vegetation communities, and unclear bilateral arrangements. We used NSW as the most developed comparator throughout the discussion and pushed for the Commonwealth to draw more explicitly on what has and hasn't worked there, rather than designing from scratch. We also noted that WA represents a genuine participation opportunity, with appetite from regional NRM groups that currently lack access to a functioning state scheme.</w:t>
      </w:r>
    </w:p>
    <w:p w14:paraId="3AC33DC4" w14:textId="77777777" w:rsidR="00861031" w:rsidRPr="00861031" w:rsidRDefault="00000000" w:rsidP="00861031">
      <w:r>
        <w:pict w14:anchorId="5D8A50D2">
          <v:rect id="_x0000_i1027" style="width:0;height:1.5pt" o:hralign="center" o:hrstd="t" o:hr="t" fillcolor="#a0a0a0" stroked="f"/>
        </w:pict>
      </w:r>
    </w:p>
    <w:p w14:paraId="6F254E09" w14:textId="77777777" w:rsidR="00861031" w:rsidRPr="00861031" w:rsidRDefault="00861031" w:rsidP="00861031">
      <w:pPr>
        <w:rPr>
          <w:b/>
          <w:bCs/>
        </w:rPr>
      </w:pPr>
      <w:r w:rsidRPr="00861031">
        <w:rPr>
          <w:b/>
          <w:bCs/>
        </w:rPr>
        <w:t>2. The Restoration Contributions Holder is likely to become the easy way out</w:t>
      </w:r>
    </w:p>
    <w:p w14:paraId="052F9434" w14:textId="77777777" w:rsidR="00861031" w:rsidRPr="00861031" w:rsidRDefault="00861031" w:rsidP="00861031">
      <w:r w:rsidRPr="00861031">
        <w:t>We raised a systemic concern: that developers will default to making a payment to the Restoration Contributions Holder rather than genuinely engaging with the offset market. NSW's experience with the Biodiversity Conservation Trust, including issues examined through IPART processes, suggests that any "pay and outsource" mechanism can become the path of least resistance. We flagged that this could hollow out market demand and undermine the investment case for landholders considering offset-capable projects.</w:t>
      </w:r>
    </w:p>
    <w:p w14:paraId="0D5535C8" w14:textId="77777777" w:rsidR="00861031" w:rsidRPr="00861031" w:rsidRDefault="00000000" w:rsidP="00861031">
      <w:r>
        <w:lastRenderedPageBreak/>
        <w:pict w14:anchorId="1E4B83A0">
          <v:rect id="_x0000_i1028" style="width:0;height:1.5pt" o:hralign="center" o:hrstd="t" o:hr="t" fillcolor="#a0a0a0" stroked="f"/>
        </w:pict>
      </w:r>
    </w:p>
    <w:p w14:paraId="18FCF78D" w14:textId="3EE88EEF" w:rsidR="00861031" w:rsidRPr="00861031" w:rsidRDefault="00861031" w:rsidP="00861031">
      <w:pPr>
        <w:rPr>
          <w:b/>
          <w:bCs/>
        </w:rPr>
      </w:pPr>
      <w:r w:rsidRPr="00861031">
        <w:rPr>
          <w:b/>
          <w:bCs/>
        </w:rPr>
        <w:t xml:space="preserve">3. Timing of offset site acceptance </w:t>
      </w:r>
      <w:r>
        <w:rPr>
          <w:b/>
          <w:bCs/>
        </w:rPr>
        <w:t>–</w:t>
      </w:r>
      <w:r w:rsidRPr="00861031">
        <w:rPr>
          <w:b/>
          <w:bCs/>
        </w:rPr>
        <w:t xml:space="preserve"> a critical unanswered question</w:t>
      </w:r>
    </w:p>
    <w:p w14:paraId="3BB1910C" w14:textId="3E4C569C" w:rsidR="00861031" w:rsidRPr="00861031" w:rsidRDefault="00861031" w:rsidP="00861031">
      <w:r w:rsidRPr="00861031">
        <w:t xml:space="preserve">We pressed DCCEEW on one of the most practically important gaps in the current material: at what point must an offset-capable site be sufficiently advanced to be accepted against a development project? Based on member experience, taking a site from a standing start to an accepted offset typically takes around two years </w:t>
      </w:r>
      <w:r>
        <w:t>–</w:t>
      </w:r>
      <w:r w:rsidRPr="00861031">
        <w:t xml:space="preserve"> and that's probably at the shorter end. Developers are often not thinking about offsets until late in their approvals process, which creates a mismatch the framework needs to resolve clearly. DCCEEW acknowledged this is still being worked through. We made the point that this timing question fundamentally affects market pricing and function, and needs clarity before the ENV method is finalised.</w:t>
      </w:r>
    </w:p>
    <w:p w14:paraId="26165560" w14:textId="77777777" w:rsidR="00861031" w:rsidRPr="00861031" w:rsidRDefault="00000000" w:rsidP="00861031">
      <w:r>
        <w:pict w14:anchorId="520543DA">
          <v:rect id="_x0000_i1029" style="width:0;height:1.5pt" o:hralign="center" o:hrstd="t" o:hr="t" fillcolor="#a0a0a0" stroked="f"/>
        </w:pict>
      </w:r>
    </w:p>
    <w:p w14:paraId="41D5F973" w14:textId="77777777" w:rsidR="00861031" w:rsidRPr="00861031" w:rsidRDefault="00861031" w:rsidP="00861031">
      <w:pPr>
        <w:rPr>
          <w:b/>
          <w:bCs/>
        </w:rPr>
      </w:pPr>
      <w:r w:rsidRPr="00861031">
        <w:rPr>
          <w:b/>
          <w:bCs/>
        </w:rPr>
        <w:t>4. Locking in offset intent at registration is too rigid</w:t>
      </w:r>
    </w:p>
    <w:p w14:paraId="48CF85BF" w14:textId="77777777" w:rsidR="00861031" w:rsidRPr="00861031" w:rsidRDefault="00861031" w:rsidP="00861031">
      <w:r w:rsidRPr="00861031">
        <w:t>The issues paper states that proponents must decide at registration whether their project will be offset-capable. We pushed back on this, noting it creates unnecessary rigidity and could discourage some landholders from participating if they want to keep their options open. DCCEEW acknowledged the wording was possibly too strong and confirmed the question is still under consideration.</w:t>
      </w:r>
    </w:p>
    <w:p w14:paraId="5C4AC97A" w14:textId="77777777" w:rsidR="00861031" w:rsidRPr="00861031" w:rsidRDefault="00000000" w:rsidP="00861031">
      <w:r>
        <w:pict w14:anchorId="2F08DAE9">
          <v:rect id="_x0000_i1030" style="width:0;height:1.5pt" o:hralign="center" o:hrstd="t" o:hr="t" fillcolor="#a0a0a0" stroked="f"/>
        </w:pict>
      </w:r>
    </w:p>
    <w:p w14:paraId="3C202609" w14:textId="77777777" w:rsidR="00861031" w:rsidRPr="00861031" w:rsidRDefault="00861031" w:rsidP="00861031">
      <w:pPr>
        <w:rPr>
          <w:b/>
          <w:bCs/>
        </w:rPr>
      </w:pPr>
      <w:r w:rsidRPr="00861031">
        <w:rPr>
          <w:b/>
          <w:bCs/>
        </w:rPr>
        <w:t>5. Additionality for established projects needs a clearer pathway</w:t>
      </w:r>
    </w:p>
    <w:p w14:paraId="38600382" w14:textId="59FD0E87" w:rsidR="00861031" w:rsidRPr="00861031" w:rsidRDefault="00861031" w:rsidP="00861031">
      <w:r w:rsidRPr="00861031">
        <w:t xml:space="preserve">We raised the challenge of demonstrating additionality where a project is already well advanced </w:t>
      </w:r>
      <w:r>
        <w:t>–</w:t>
      </w:r>
      <w:r w:rsidRPr="00861031">
        <w:t xml:space="preserve"> say, 15 years into habitat improvement works </w:t>
      </w:r>
      <w:r>
        <w:t>–</w:t>
      </w:r>
      <w:r w:rsidRPr="00861031">
        <w:t xml:space="preserve"> before a developer seeks to use it as an offset. DCCEEW pointed to the role of advanced restoration actions as a way to manage this, but the discussion showed that this pathway needs to be explained more clearly in the current material.</w:t>
      </w:r>
    </w:p>
    <w:p w14:paraId="56735CB4" w14:textId="77777777" w:rsidR="00861031" w:rsidRPr="00861031" w:rsidRDefault="00000000" w:rsidP="00861031">
      <w:r>
        <w:pict w14:anchorId="01C2F8E3">
          <v:rect id="_x0000_i1031" style="width:0;height:1.5pt" o:hralign="center" o:hrstd="t" o:hr="t" fillcolor="#a0a0a0" stroked="f"/>
        </w:pict>
      </w:r>
    </w:p>
    <w:p w14:paraId="22B8545D" w14:textId="77777777" w:rsidR="00861031" w:rsidRPr="00861031" w:rsidRDefault="00861031" w:rsidP="00861031">
      <w:pPr>
        <w:rPr>
          <w:b/>
          <w:bCs/>
        </w:rPr>
      </w:pPr>
      <w:r w:rsidRPr="00861031">
        <w:rPr>
          <w:b/>
          <w:bCs/>
        </w:rPr>
        <w:t>6. Like-for-like methodology alignment between impact and offset sites</w:t>
      </w:r>
    </w:p>
    <w:p w14:paraId="148927A3" w14:textId="77777777" w:rsidR="00861031" w:rsidRPr="00861031" w:rsidRDefault="00861031" w:rsidP="00861031">
      <w:r w:rsidRPr="00861031">
        <w:t>In NSW, the same Biodiversity Assessment Method is applied to both the impact site and the offset site, enabling a genuine like-for-like comparison. Under the Commonwealth framework, the offset site will be assessed using the NRM methodology while the impact site may be assessed under an entirely different state-based approach. We asked who bears responsibility for bridging that gap and whether the EPA's offset calculator alone is sufficient. DCCEEW acknowledged the complexity and confirmed work is underway to align metrics, but this remains an open question.</w:t>
      </w:r>
    </w:p>
    <w:p w14:paraId="53D1F21E" w14:textId="77777777" w:rsidR="00C65181" w:rsidRDefault="00C65181" w:rsidP="00861031"/>
    <w:p w14:paraId="6CC2665D" w14:textId="0FA8A516" w:rsidR="00861031" w:rsidRPr="00861031" w:rsidRDefault="00000000" w:rsidP="00861031">
      <w:r>
        <w:lastRenderedPageBreak/>
        <w:pict w14:anchorId="2FD2C095">
          <v:rect id="_x0000_i1032" style="width:0;height:1.5pt" o:hralign="center" o:hrstd="t" o:hr="t" fillcolor="#a0a0a0" stroked="f"/>
        </w:pict>
      </w:r>
    </w:p>
    <w:p w14:paraId="78DDE8EE" w14:textId="77777777" w:rsidR="00861031" w:rsidRPr="00861031" w:rsidRDefault="00861031" w:rsidP="00861031">
      <w:pPr>
        <w:rPr>
          <w:b/>
          <w:bCs/>
        </w:rPr>
      </w:pPr>
      <w:r w:rsidRPr="00861031">
        <w:rPr>
          <w:b/>
          <w:bCs/>
        </w:rPr>
        <w:t>7. The current material is not yet detailed enough to test</w:t>
      </w:r>
    </w:p>
    <w:p w14:paraId="743DE912" w14:textId="3D7C1D26" w:rsidR="00861031" w:rsidRPr="00861031" w:rsidRDefault="00861031" w:rsidP="00861031">
      <w:r w:rsidRPr="00861031">
        <w:t xml:space="preserve">We noted that the issues papers are deliberately high-level </w:t>
      </w:r>
      <w:r>
        <w:t>–</w:t>
      </w:r>
      <w:r w:rsidRPr="00861031">
        <w:t xml:space="preserve"> DCCEEW confirmed this </w:t>
      </w:r>
      <w:r>
        <w:t>–</w:t>
      </w:r>
      <w:r w:rsidRPr="00861031">
        <w:t xml:space="preserve"> but that means it is currently impossible to assess in any meaningful way whether the proposed frameworks will actually work in practice. Drawing on members' direct experience with the NSW system (which has been refining its approach for 15 years and still generates back-and-forth on indicators, survey types and measurement), we cautioned that getting the detail right on threatened species indicators, data requirements and guidance will take considerable time and effort. The ENV method going out for statutory consultation in July will be a more substantive test.</w:t>
      </w:r>
    </w:p>
    <w:p w14:paraId="06234610" w14:textId="77777777" w:rsidR="00861031" w:rsidRPr="00861031" w:rsidRDefault="00000000" w:rsidP="00861031">
      <w:r>
        <w:pict w14:anchorId="4332DCBD">
          <v:rect id="_x0000_i1033" style="width:0;height:1.5pt" o:hralign="center" o:hrstd="t" o:hr="t" fillcolor="#a0a0a0" stroked="f"/>
        </w:pict>
      </w:r>
    </w:p>
    <w:p w14:paraId="1243844B" w14:textId="3B6E5A7A" w:rsidR="00861031" w:rsidRPr="00861031" w:rsidRDefault="00861031" w:rsidP="00861031">
      <w:pPr>
        <w:rPr>
          <w:b/>
          <w:bCs/>
        </w:rPr>
      </w:pPr>
      <w:r w:rsidRPr="00861031">
        <w:rPr>
          <w:b/>
          <w:bCs/>
        </w:rPr>
        <w:t xml:space="preserve">8. Single site, partial use and multiple sites </w:t>
      </w:r>
      <w:r>
        <w:rPr>
          <w:b/>
          <w:bCs/>
        </w:rPr>
        <w:t>–</w:t>
      </w:r>
      <w:r w:rsidRPr="00861031">
        <w:rPr>
          <w:b/>
          <w:bCs/>
        </w:rPr>
        <w:t xml:space="preserve"> still unresolved</w:t>
      </w:r>
    </w:p>
    <w:p w14:paraId="4336F8BA" w14:textId="5C9639CA" w:rsidR="00861031" w:rsidRPr="00861031" w:rsidRDefault="00861031" w:rsidP="00861031">
      <w:r w:rsidRPr="00861031">
        <w:t xml:space="preserve">We sought clarification on whether a single NRM project site could partially satisfy an offset obligation, with remaining certificate value retained for market sale </w:t>
      </w:r>
      <w:r>
        <w:t>–</w:t>
      </w:r>
      <w:r w:rsidRPr="00861031">
        <w:t xml:space="preserve"> and whether multiple sites could be aggregated to meet complex development impacts. In NSW, partial use and multiple sites are both common. There was concern that under the Commonwealth framework, once a site is committed to an offset purpose it may be entirely removed from market circulation. DCCEEW confirmed this is still being considered.</w:t>
      </w:r>
    </w:p>
    <w:p w14:paraId="2EF0DC5A" w14:textId="77777777" w:rsidR="00861031" w:rsidRPr="00861031" w:rsidRDefault="00000000" w:rsidP="00861031">
      <w:r>
        <w:pict w14:anchorId="114B0984">
          <v:rect id="_x0000_i1034" style="width:0;height:1.5pt" o:hralign="center" o:hrstd="t" o:hr="t" fillcolor="#a0a0a0" stroked="f"/>
        </w:pict>
      </w:r>
    </w:p>
    <w:p w14:paraId="694227EF" w14:textId="77777777" w:rsidR="00861031" w:rsidRPr="00861031" w:rsidRDefault="00861031" w:rsidP="00861031">
      <w:pPr>
        <w:rPr>
          <w:b/>
          <w:bCs/>
        </w:rPr>
      </w:pPr>
      <w:r w:rsidRPr="00861031">
        <w:rPr>
          <w:b/>
          <w:bCs/>
        </w:rPr>
        <w:t>9. No demand forecasting tools proposed</w:t>
      </w:r>
    </w:p>
    <w:p w14:paraId="2A02E15B" w14:textId="77777777" w:rsidR="00861031" w:rsidRPr="00861031" w:rsidRDefault="00861031" w:rsidP="00861031">
      <w:r w:rsidRPr="00861031">
        <w:t>We identified a gap the issues papers do not address: how will landholders know whether there is likely to be demand for offset-capable projects in their area? Without some mechanism to signal demand, the supply side of the market cannot function efficiently. This is an area NSW has had to grapple with and we encouraged DCCEEW to think about it early.</w:t>
      </w:r>
    </w:p>
    <w:p w14:paraId="4B8C1841" w14:textId="77777777" w:rsidR="00861031" w:rsidRPr="00861031" w:rsidRDefault="00000000" w:rsidP="00861031">
      <w:r>
        <w:pict w14:anchorId="06B8D20A">
          <v:rect id="_x0000_i1035" style="width:0;height:1.5pt" o:hralign="center" o:hrstd="t" o:hr="t" fillcolor="#a0a0a0" stroked="f"/>
        </w:pict>
      </w:r>
    </w:p>
    <w:p w14:paraId="588B584B" w14:textId="77777777" w:rsidR="00861031" w:rsidRPr="00861031" w:rsidRDefault="00861031" w:rsidP="00861031">
      <w:pPr>
        <w:rPr>
          <w:b/>
          <w:bCs/>
        </w:rPr>
      </w:pPr>
      <w:r w:rsidRPr="00861031">
        <w:rPr>
          <w:b/>
          <w:bCs/>
        </w:rPr>
        <w:t>10. Suitably Qualified Person definition needs strengthening</w:t>
      </w:r>
    </w:p>
    <w:p w14:paraId="74C7178D" w14:textId="77777777" w:rsidR="00861031" w:rsidRPr="00861031" w:rsidRDefault="00861031" w:rsidP="00861031">
      <w:r w:rsidRPr="00861031">
        <w:t>The threatened species characteristic relies heavily on a "suitably qualified person" but the current definition needs more substance. We noted that CEnvP is one relevant credential, but a robust SQP framework needs to address qualifications, experience, local bioregional knowledge and target-species expertise together. We offered to share Queensland's Protected Flora Survey guideline as a strong model, and offered a comparative analysis of how SQP is defined across different jurisdictions.</w:t>
      </w:r>
    </w:p>
    <w:p w14:paraId="50B1CA32" w14:textId="77777777" w:rsidR="00861031" w:rsidRDefault="00861031" w:rsidP="00861031"/>
    <w:p w14:paraId="14DF620E" w14:textId="4FA6C0F9" w:rsidR="00861031" w:rsidRPr="00861031" w:rsidRDefault="00000000" w:rsidP="00861031">
      <w:r>
        <w:lastRenderedPageBreak/>
        <w:pict w14:anchorId="7B5E8F3D">
          <v:rect id="_x0000_i1036" style="width:0;height:1.5pt" o:hralign="center" o:hrstd="t" o:hr="t" fillcolor="#a0a0a0" stroked="f"/>
        </w:pict>
      </w:r>
    </w:p>
    <w:p w14:paraId="58C160DE" w14:textId="77777777" w:rsidR="00861031" w:rsidRPr="00861031" w:rsidRDefault="00861031" w:rsidP="00861031">
      <w:pPr>
        <w:rPr>
          <w:b/>
          <w:bCs/>
        </w:rPr>
      </w:pPr>
      <w:r w:rsidRPr="00861031">
        <w:rPr>
          <w:b/>
          <w:bCs/>
        </w:rPr>
        <w:t>11. Market integrity goes beyond ecological data quality</w:t>
      </w:r>
    </w:p>
    <w:p w14:paraId="0DADFDD1" w14:textId="035B499F" w:rsidR="00861031" w:rsidRPr="00861031" w:rsidRDefault="00861031" w:rsidP="00861031">
      <w:r w:rsidRPr="00861031">
        <w:t xml:space="preserve">We broadened the integrity discussion beyond ecological rigour to include the operational integrity of the market itself </w:t>
      </w:r>
      <w:r>
        <w:t>–</w:t>
      </w:r>
      <w:r w:rsidRPr="00861031">
        <w:t xml:space="preserve"> brokering conduct, consultant roles, government participation as a developer, conflicts of interest, and structural lessons from financial services markets. The ACCU scheme's transparency issues were raised as a cautionary precedent. Our point was that the integrity paper needs to address how the market operates, not just how ecological data is collected and verified.</w:t>
      </w:r>
    </w:p>
    <w:p w14:paraId="66EEF43E" w14:textId="77777777" w:rsidR="00861031" w:rsidRPr="00861031" w:rsidRDefault="00000000" w:rsidP="00861031">
      <w:r>
        <w:pict w14:anchorId="75AA0D8B">
          <v:rect id="_x0000_i1037" style="width:0;height:1.5pt" o:hralign="center" o:hrstd="t" o:hr="t" fillcolor="#a0a0a0" stroked="f"/>
        </w:pict>
      </w:r>
    </w:p>
    <w:p w14:paraId="781CED00" w14:textId="626F0C66" w:rsidR="00861031" w:rsidRPr="00861031" w:rsidRDefault="00861031" w:rsidP="00861031">
      <w:pPr>
        <w:rPr>
          <w:b/>
          <w:bCs/>
        </w:rPr>
      </w:pPr>
      <w:r w:rsidRPr="00861031">
        <w:rPr>
          <w:b/>
          <w:bCs/>
        </w:rPr>
        <w:t xml:space="preserve">12. Data governance </w:t>
      </w:r>
      <w:r>
        <w:rPr>
          <w:b/>
          <w:bCs/>
        </w:rPr>
        <w:t>–</w:t>
      </w:r>
      <w:r w:rsidRPr="00861031">
        <w:rPr>
          <w:b/>
          <w:bCs/>
        </w:rPr>
        <w:t xml:space="preserve"> collect once, use many times</w:t>
      </w:r>
    </w:p>
    <w:p w14:paraId="08BD0A38" w14:textId="06F50F8D" w:rsidR="00861031" w:rsidRPr="00861031" w:rsidRDefault="00861031" w:rsidP="00861031">
      <w:r w:rsidRPr="00861031">
        <w:t xml:space="preserve">We supported designing the market's data architecture so that starting values, forecast values and species data collected under the framework can serve multiple downstream purposes </w:t>
      </w:r>
      <w:r>
        <w:t>–</w:t>
      </w:r>
      <w:r w:rsidRPr="00861031">
        <w:t xml:space="preserve"> nature-related financial disclosures, regional planning, carbon markets and others </w:t>
      </w:r>
      <w:r>
        <w:t>–</w:t>
      </w:r>
      <w:r w:rsidRPr="00861031">
        <w:t xml:space="preserve"> without requiring separate data collection exercises. The threatened species characteristic's proposed single evidence base for both market participation and offset suitability is a step in the right direction.</w:t>
      </w:r>
    </w:p>
    <w:p w14:paraId="573DCB80" w14:textId="77777777" w:rsidR="00861031" w:rsidRPr="00861031" w:rsidRDefault="00000000" w:rsidP="00861031">
      <w:r>
        <w:pict w14:anchorId="17D68D67">
          <v:rect id="_x0000_i1038" style="width:0;height:1.5pt" o:hralign="center" o:hrstd="t" o:hr="t" fillcolor="#a0a0a0" stroked="f"/>
        </w:pict>
      </w:r>
    </w:p>
    <w:p w14:paraId="78B4E070" w14:textId="77777777" w:rsidR="00861031" w:rsidRPr="00861031" w:rsidRDefault="00861031" w:rsidP="00861031">
      <w:pPr>
        <w:rPr>
          <w:b/>
          <w:bCs/>
        </w:rPr>
      </w:pPr>
      <w:r w:rsidRPr="00861031">
        <w:rPr>
          <w:b/>
          <w:bCs/>
        </w:rPr>
        <w:t>13. Role clarity across CER, EPA, RCH and state/territory decision-makers</w:t>
      </w:r>
    </w:p>
    <w:p w14:paraId="4E131AF4" w14:textId="77777777" w:rsidR="00861031" w:rsidRPr="00861031" w:rsidRDefault="00861031" w:rsidP="00861031">
      <w:r w:rsidRPr="00861031">
        <w:t>Across multiple parts of the discussion, it became clear that the respective roles of the Clean Energy Regulator, the new National EPA, the Restoration Contributions Holder and state/territory decision-makers are not yet well understood by practitioners. We asked for clearer explanation of who is responsible for determining offset suitability, monitoring ongoing effectiveness, and managing compliance where a project sits simultaneously within the Nature Repair Market and an offsets framework.</w:t>
      </w:r>
    </w:p>
    <w:p w14:paraId="4DFDDCA1" w14:textId="77777777" w:rsidR="00861031" w:rsidRPr="00861031" w:rsidRDefault="00000000" w:rsidP="00861031">
      <w:r>
        <w:pict w14:anchorId="1CFB5E4B">
          <v:rect id="_x0000_i1039" style="width:0;height:1.5pt" o:hralign="center" o:hrstd="t" o:hr="t" fillcolor="#a0a0a0" stroked="f"/>
        </w:pict>
      </w:r>
    </w:p>
    <w:p w14:paraId="61E61271" w14:textId="0FC81F71" w:rsidR="00F85381" w:rsidRPr="008C1029" w:rsidRDefault="00F85381" w:rsidP="008C1029">
      <w:pPr>
        <w:pStyle w:val="PlainText"/>
        <w:spacing w:after="160" w:line="278" w:lineRule="auto"/>
        <w:rPr>
          <w:rFonts w:asciiTheme="minorHAnsi" w:hAnsiTheme="minorHAnsi"/>
          <w:b/>
          <w:bCs/>
          <w:sz w:val="24"/>
          <w:szCs w:val="24"/>
        </w:rPr>
      </w:pPr>
      <w:r w:rsidRPr="00F85381">
        <w:rPr>
          <w:rFonts w:asciiTheme="minorHAnsi" w:hAnsiTheme="minorHAnsi"/>
          <w:b/>
          <w:bCs/>
          <w:sz w:val="24"/>
          <w:szCs w:val="24"/>
        </w:rPr>
        <w:t>Additional issues identified in member review</w:t>
      </w:r>
    </w:p>
    <w:p w14:paraId="0A05EAD4" w14:textId="4743FF15" w:rsidR="00F85381" w:rsidRPr="00F85381" w:rsidRDefault="00F85381" w:rsidP="008C1029">
      <w:pPr>
        <w:pStyle w:val="PlainText"/>
        <w:spacing w:after="160" w:line="278" w:lineRule="auto"/>
        <w:rPr>
          <w:rFonts w:asciiTheme="minorHAnsi" w:hAnsiTheme="minorHAnsi"/>
          <w:sz w:val="24"/>
          <w:szCs w:val="24"/>
        </w:rPr>
      </w:pPr>
      <w:r w:rsidRPr="00F85381">
        <w:rPr>
          <w:rFonts w:asciiTheme="minorHAnsi" w:hAnsiTheme="minorHAnsi"/>
          <w:sz w:val="24"/>
          <w:szCs w:val="24"/>
        </w:rPr>
        <w:t>Following the session, additional substantive issues were identified through member review of the issues papers. These were not raised in the discussion but are included here as they will inform our ongoing engagement.</w:t>
      </w:r>
    </w:p>
    <w:p w14:paraId="200E7A7E" w14:textId="553025DB" w:rsidR="00F85381" w:rsidRPr="00F85381" w:rsidRDefault="00F85381" w:rsidP="008C1029">
      <w:pPr>
        <w:pStyle w:val="PlainText"/>
        <w:numPr>
          <w:ilvl w:val="0"/>
          <w:numId w:val="2"/>
        </w:numPr>
        <w:spacing w:after="160" w:line="278" w:lineRule="auto"/>
        <w:rPr>
          <w:rFonts w:asciiTheme="minorHAnsi" w:hAnsiTheme="minorHAnsi"/>
          <w:b/>
          <w:bCs/>
          <w:sz w:val="24"/>
          <w:szCs w:val="24"/>
        </w:rPr>
      </w:pPr>
      <w:r w:rsidRPr="00F85381">
        <w:rPr>
          <w:rFonts w:asciiTheme="minorHAnsi" w:hAnsiTheme="minorHAnsi"/>
          <w:b/>
          <w:bCs/>
          <w:sz w:val="24"/>
          <w:szCs w:val="24"/>
        </w:rPr>
        <w:t xml:space="preserve">Significant reversal criteria </w:t>
      </w:r>
      <w:r w:rsidR="008C1029">
        <w:rPr>
          <w:rFonts w:asciiTheme="minorHAnsi" w:hAnsiTheme="minorHAnsi"/>
          <w:b/>
          <w:bCs/>
          <w:sz w:val="24"/>
          <w:szCs w:val="24"/>
        </w:rPr>
        <w:t>–</w:t>
      </w:r>
      <w:r w:rsidRPr="00F85381">
        <w:rPr>
          <w:rFonts w:asciiTheme="minorHAnsi" w:hAnsiTheme="minorHAnsi"/>
          <w:b/>
          <w:bCs/>
          <w:sz w:val="24"/>
          <w:szCs w:val="24"/>
        </w:rPr>
        <w:t xml:space="preserve"> "and" or "or"?</w:t>
      </w:r>
    </w:p>
    <w:p w14:paraId="0BA3BFCF" w14:textId="6E22FD31" w:rsidR="00F85381" w:rsidRPr="00F85381" w:rsidRDefault="00F85381" w:rsidP="008C1029">
      <w:pPr>
        <w:pStyle w:val="PlainText"/>
        <w:spacing w:after="160" w:line="278" w:lineRule="auto"/>
        <w:rPr>
          <w:rFonts w:asciiTheme="minorHAnsi" w:hAnsiTheme="minorHAnsi"/>
          <w:sz w:val="24"/>
          <w:szCs w:val="24"/>
        </w:rPr>
      </w:pPr>
      <w:r w:rsidRPr="00F85381">
        <w:rPr>
          <w:rFonts w:asciiTheme="minorHAnsi" w:hAnsiTheme="minorHAnsi"/>
          <w:sz w:val="24"/>
          <w:szCs w:val="24"/>
        </w:rPr>
        <w:t xml:space="preserve">The integrity paper lists three criteria that could constitute a significant reversal of biodiversity outcomes: an indicator falling below its threshold value; CER satisfaction that it could not be restored within a reasonable period; and the permanence period not having been extended. The paper does not specify whether all three must be satisfied simultaneously or whether any single criterion is sufficient. This distinction has material </w:t>
      </w:r>
      <w:r w:rsidRPr="00F85381">
        <w:rPr>
          <w:rFonts w:asciiTheme="minorHAnsi" w:hAnsiTheme="minorHAnsi"/>
          <w:sz w:val="24"/>
          <w:szCs w:val="24"/>
        </w:rPr>
        <w:lastRenderedPageBreak/>
        <w:t xml:space="preserve">consequences </w:t>
      </w:r>
      <w:r w:rsidR="008C1029">
        <w:rPr>
          <w:rFonts w:asciiTheme="minorHAnsi" w:hAnsiTheme="minorHAnsi"/>
          <w:sz w:val="24"/>
          <w:szCs w:val="24"/>
        </w:rPr>
        <w:t>–</w:t>
      </w:r>
      <w:r w:rsidRPr="00F85381">
        <w:rPr>
          <w:rFonts w:asciiTheme="minorHAnsi" w:hAnsiTheme="minorHAnsi"/>
          <w:sz w:val="24"/>
          <w:szCs w:val="24"/>
        </w:rPr>
        <w:t xml:space="preserve"> if it is an "or" test, a single indicator breach could trigger a relinquishment notice regardless of broader project health. We consider this ambiguity needs to be resolved explicitly in the Rules.</w:t>
      </w:r>
    </w:p>
    <w:p w14:paraId="24021010" w14:textId="4DE8078F" w:rsidR="00F85381" w:rsidRPr="00F85381" w:rsidRDefault="00F85381" w:rsidP="008C1029">
      <w:pPr>
        <w:pStyle w:val="PlainText"/>
        <w:numPr>
          <w:ilvl w:val="0"/>
          <w:numId w:val="2"/>
        </w:numPr>
        <w:spacing w:after="160" w:line="278" w:lineRule="auto"/>
        <w:rPr>
          <w:rFonts w:asciiTheme="minorHAnsi" w:hAnsiTheme="minorHAnsi"/>
          <w:b/>
          <w:bCs/>
          <w:sz w:val="24"/>
          <w:szCs w:val="24"/>
        </w:rPr>
      </w:pPr>
      <w:r w:rsidRPr="00F85381">
        <w:rPr>
          <w:rFonts w:asciiTheme="minorHAnsi" w:hAnsiTheme="minorHAnsi"/>
          <w:b/>
          <w:bCs/>
          <w:sz w:val="24"/>
          <w:szCs w:val="24"/>
        </w:rPr>
        <w:t xml:space="preserve">Who makes the significant reversal determination </w:t>
      </w:r>
      <w:r w:rsidR="008C1029">
        <w:rPr>
          <w:rFonts w:asciiTheme="minorHAnsi" w:hAnsiTheme="minorHAnsi"/>
          <w:b/>
          <w:bCs/>
          <w:sz w:val="24"/>
          <w:szCs w:val="24"/>
        </w:rPr>
        <w:t>–</w:t>
      </w:r>
      <w:r w:rsidRPr="00F85381">
        <w:rPr>
          <w:rFonts w:asciiTheme="minorHAnsi" w:hAnsiTheme="minorHAnsi"/>
          <w:b/>
          <w:bCs/>
          <w:sz w:val="24"/>
          <w:szCs w:val="24"/>
        </w:rPr>
        <w:t xml:space="preserve"> and how?</w:t>
      </w:r>
    </w:p>
    <w:p w14:paraId="6C5BE3A7" w14:textId="6EE4CECF" w:rsidR="00F85381" w:rsidRPr="00F85381" w:rsidRDefault="00F85381" w:rsidP="008C1029">
      <w:pPr>
        <w:pStyle w:val="PlainText"/>
        <w:spacing w:after="160" w:line="278" w:lineRule="auto"/>
        <w:rPr>
          <w:rFonts w:asciiTheme="minorHAnsi" w:hAnsiTheme="minorHAnsi"/>
          <w:sz w:val="24"/>
          <w:szCs w:val="24"/>
        </w:rPr>
      </w:pPr>
      <w:r w:rsidRPr="00F85381">
        <w:rPr>
          <w:rFonts w:asciiTheme="minorHAnsi" w:hAnsiTheme="minorHAnsi"/>
          <w:sz w:val="24"/>
          <w:szCs w:val="24"/>
        </w:rPr>
        <w:t xml:space="preserve">Related to the above, the issues paper does not describe the decision-making process for determining whether a reversal is significant. We consider that a decision of this consequence </w:t>
      </w:r>
      <w:r w:rsidR="008C1029">
        <w:rPr>
          <w:rFonts w:asciiTheme="minorHAnsi" w:hAnsiTheme="minorHAnsi"/>
          <w:sz w:val="24"/>
          <w:szCs w:val="24"/>
        </w:rPr>
        <w:t>–</w:t>
      </w:r>
      <w:r w:rsidRPr="00F85381">
        <w:rPr>
          <w:rFonts w:asciiTheme="minorHAnsi" w:hAnsiTheme="minorHAnsi"/>
          <w:sz w:val="24"/>
          <w:szCs w:val="24"/>
        </w:rPr>
        <w:t xml:space="preserve"> which can trigger a relinquishment notice </w:t>
      </w:r>
      <w:r w:rsidR="008C1029">
        <w:rPr>
          <w:rFonts w:asciiTheme="minorHAnsi" w:hAnsiTheme="minorHAnsi"/>
          <w:sz w:val="24"/>
          <w:szCs w:val="24"/>
        </w:rPr>
        <w:t>–</w:t>
      </w:r>
      <w:r w:rsidRPr="00F85381">
        <w:rPr>
          <w:rFonts w:asciiTheme="minorHAnsi" w:hAnsiTheme="minorHAnsi"/>
          <w:sz w:val="24"/>
          <w:szCs w:val="24"/>
        </w:rPr>
        <w:t xml:space="preserve"> should not rest with a single individual, and that the Rules should require consideration of multiple professional opinions before a determination is made.</w:t>
      </w:r>
    </w:p>
    <w:p w14:paraId="1C395EB4" w14:textId="3F13FA76" w:rsidR="00F85381" w:rsidRPr="00F85381" w:rsidRDefault="00F85381" w:rsidP="008C1029">
      <w:pPr>
        <w:pStyle w:val="PlainText"/>
        <w:numPr>
          <w:ilvl w:val="0"/>
          <w:numId w:val="2"/>
        </w:numPr>
        <w:spacing w:after="160" w:line="278" w:lineRule="auto"/>
        <w:rPr>
          <w:rFonts w:asciiTheme="minorHAnsi" w:hAnsiTheme="minorHAnsi"/>
          <w:b/>
          <w:bCs/>
          <w:sz w:val="24"/>
          <w:szCs w:val="24"/>
        </w:rPr>
      </w:pPr>
      <w:r w:rsidRPr="00F85381">
        <w:rPr>
          <w:rFonts w:asciiTheme="minorHAnsi" w:hAnsiTheme="minorHAnsi"/>
          <w:b/>
          <w:bCs/>
          <w:sz w:val="24"/>
          <w:szCs w:val="24"/>
        </w:rPr>
        <w:t>NBAS score updates could devalue existing certificates</w:t>
      </w:r>
    </w:p>
    <w:p w14:paraId="02DDD153" w14:textId="0B4B1FB6" w:rsidR="00F85381" w:rsidRPr="00F85381" w:rsidRDefault="00F85381" w:rsidP="008C1029">
      <w:pPr>
        <w:pStyle w:val="PlainText"/>
        <w:spacing w:after="160" w:line="278" w:lineRule="auto"/>
        <w:rPr>
          <w:rFonts w:asciiTheme="minorHAnsi" w:hAnsiTheme="minorHAnsi"/>
          <w:sz w:val="24"/>
          <w:szCs w:val="24"/>
        </w:rPr>
      </w:pPr>
      <w:r w:rsidRPr="00F85381">
        <w:rPr>
          <w:rFonts w:asciiTheme="minorHAnsi" w:hAnsiTheme="minorHAnsi"/>
          <w:sz w:val="24"/>
          <w:szCs w:val="24"/>
        </w:rPr>
        <w:t>The integrity paper proposes that when the National Biodiversity Assessment System is updated, scores will be recalculated and published for all registered projects. This raises a legitimate investor risk: could a methodology update reduce a project's scores and effectively devalue a certificate through no fault of the proponent? The issues paper says the Rule is not intended to create additional regulatory requirements, but the commercial implications of score changes are not addressed. We consider this needs explicit treatment, including whether any recourse or transition arrangements would be available to affected certificate holders.</w:t>
      </w:r>
    </w:p>
    <w:p w14:paraId="12B3FE80" w14:textId="46DF23E3" w:rsidR="00F85381" w:rsidRPr="00F85381" w:rsidRDefault="00F85381" w:rsidP="008C1029">
      <w:pPr>
        <w:pStyle w:val="PlainText"/>
        <w:numPr>
          <w:ilvl w:val="0"/>
          <w:numId w:val="2"/>
        </w:numPr>
        <w:spacing w:after="160" w:line="278" w:lineRule="auto"/>
        <w:rPr>
          <w:rFonts w:asciiTheme="minorHAnsi" w:hAnsiTheme="minorHAnsi"/>
          <w:b/>
          <w:bCs/>
          <w:sz w:val="24"/>
          <w:szCs w:val="24"/>
        </w:rPr>
      </w:pPr>
      <w:r w:rsidRPr="00F85381">
        <w:rPr>
          <w:rFonts w:asciiTheme="minorHAnsi" w:hAnsiTheme="minorHAnsi"/>
          <w:b/>
          <w:bCs/>
          <w:sz w:val="24"/>
          <w:szCs w:val="24"/>
        </w:rPr>
        <w:t>Local government omitted from the governance framework</w:t>
      </w:r>
    </w:p>
    <w:p w14:paraId="0A55BEBA" w14:textId="03B56897" w:rsidR="008C1029" w:rsidRDefault="00F85381" w:rsidP="00F85381">
      <w:r w:rsidRPr="00F85381">
        <w:t xml:space="preserve">Figure 1 of the offsets paper sets out the roles of the National EPA, CER, Restoration Contributions Holder, Nature Repair Committee, the department, and state and territory decision-makers. It does not acknowledge local governments, which in some jurisdictions </w:t>
      </w:r>
      <w:r w:rsidR="008C1029">
        <w:t>–</w:t>
      </w:r>
      <w:r w:rsidRPr="00F85381">
        <w:t xml:space="preserve"> notably Queensland </w:t>
      </w:r>
      <w:r w:rsidR="008C1029">
        <w:t>–</w:t>
      </w:r>
      <w:r w:rsidRPr="00F85381">
        <w:t xml:space="preserve"> have their own offset requirements and could represent an additional source of demand for offset-capable NRM projects. We consider local governments should be recognised within the governance framework, both as potential participants in the voluntary market and as decision-makers under their own offset requirements.</w:t>
      </w:r>
    </w:p>
    <w:p w14:paraId="03C4016A" w14:textId="77777777" w:rsidR="003841D4" w:rsidRDefault="003841D4" w:rsidP="003841D4">
      <w:pPr>
        <w:rPr>
          <w:b/>
          <w:bCs/>
        </w:rPr>
      </w:pPr>
      <w:r w:rsidRPr="003841D4">
        <w:rPr>
          <w:b/>
          <w:bCs/>
        </w:rPr>
        <w:t>5. Threatened species indicator benchmarks – confidence and updating</w:t>
      </w:r>
    </w:p>
    <w:p w14:paraId="55F4D471" w14:textId="705EE83D" w:rsidR="003841D4" w:rsidRDefault="003841D4" w:rsidP="003841D4">
      <w:r w:rsidRPr="003841D4">
        <w:t>The threatened species paper proposes indicator benchmarks as the reference condition against which benefits are measured. Member review noted that there are more than 2,000 threatened species, and for many species the biology and habitat requirements are poorly understood. This raises a practical integrity question: how will benchmarks be established with sufficient confidence, and will they be dynamic so they can be updated as new information becomes available?</w:t>
      </w:r>
    </w:p>
    <w:p w14:paraId="1C7E3DD0" w14:textId="77777777" w:rsidR="009C508D" w:rsidRDefault="009C508D" w:rsidP="00F85381"/>
    <w:p w14:paraId="12D1D2B6" w14:textId="77777777" w:rsidR="009C508D" w:rsidRDefault="009C508D" w:rsidP="00F85381"/>
    <w:p w14:paraId="3D03FAA5" w14:textId="32160BDC" w:rsidR="00F85381" w:rsidRDefault="00F85381" w:rsidP="00F85381">
      <w:r>
        <w:lastRenderedPageBreak/>
        <w:pict w14:anchorId="5C8E266F">
          <v:rect id="_x0000_i1042" style="width:0;height:1.5pt" o:hralign="center" o:hrstd="t" o:hr="t" fillcolor="#a0a0a0" stroked="f"/>
        </w:pict>
      </w:r>
    </w:p>
    <w:p w14:paraId="1F05EC19" w14:textId="5CB35FB6" w:rsidR="00861031" w:rsidRPr="00861031" w:rsidRDefault="00861031" w:rsidP="00F85381">
      <w:pPr>
        <w:rPr>
          <w:b/>
          <w:bCs/>
        </w:rPr>
      </w:pPr>
      <w:r w:rsidRPr="00861031">
        <w:rPr>
          <w:b/>
          <w:bCs/>
        </w:rPr>
        <w:t>What's next</w:t>
      </w:r>
    </w:p>
    <w:p w14:paraId="413F4C3B" w14:textId="10BE602F" w:rsidR="00861031" w:rsidRPr="00861031" w:rsidRDefault="00861031" w:rsidP="00861031">
      <w:r w:rsidRPr="00861031">
        <w:t xml:space="preserve">DCCEEW will be releasing the ENV method for statutory consultation in July 2026 </w:t>
      </w:r>
      <w:r>
        <w:t>–</w:t>
      </w:r>
      <w:r w:rsidRPr="00861031">
        <w:t xml:space="preserve"> this will contain significantly more technical detail and is the next substantive opportunity for EIANZ to engage. We have offered to assist with targeted input on specific unresolved questions ahead of that process.</w:t>
      </w:r>
    </w:p>
    <w:p w14:paraId="250815C5" w14:textId="29D7CCAF" w:rsidR="000F554A" w:rsidRDefault="00861031" w:rsidP="00861031">
      <w:r w:rsidRPr="00861031">
        <w:t>If you have feedback on the positions we raised, or issues you would like included in any follow-up, please get in touch with the EIANZ office.</w:t>
      </w:r>
    </w:p>
    <w:p w14:paraId="526C7ADA" w14:textId="617A1F1A" w:rsidR="00861031" w:rsidRPr="00861031" w:rsidRDefault="00000000" w:rsidP="00861031">
      <w:r>
        <w:pict w14:anchorId="725D2DB9">
          <v:rect id="_x0000_i1040" style="width:0;height:1.5pt" o:hralign="center" o:hrstd="t" o:hr="t" fillcolor="#a0a0a0" stroked="f"/>
        </w:pict>
      </w:r>
    </w:p>
    <w:p w14:paraId="26B1ECB1" w14:textId="77777777" w:rsidR="00861031" w:rsidRPr="00861031" w:rsidRDefault="00861031" w:rsidP="00861031">
      <w:pPr>
        <w:rPr>
          <w:b/>
          <w:bCs/>
        </w:rPr>
      </w:pPr>
      <w:r w:rsidRPr="00861031">
        <w:rPr>
          <w:b/>
          <w:bCs/>
        </w:rPr>
        <w:t>Thank you to our participants</w:t>
      </w:r>
    </w:p>
    <w:p w14:paraId="12D20092" w14:textId="77777777" w:rsidR="00861031" w:rsidRPr="00861031" w:rsidRDefault="00861031" w:rsidP="00861031">
      <w:r w:rsidRPr="00861031">
        <w:t>This session was only possible thanks to the generosity and expertise of the following EIANZ members who gave their time:</w:t>
      </w:r>
    </w:p>
    <w:p w14:paraId="1D6C9258" w14:textId="1C0D02CD" w:rsidR="00861031" w:rsidRPr="00861031" w:rsidRDefault="00861031" w:rsidP="00861031">
      <w:pPr>
        <w:numPr>
          <w:ilvl w:val="0"/>
          <w:numId w:val="1"/>
        </w:numPr>
      </w:pPr>
      <w:r w:rsidRPr="00861031">
        <w:rPr>
          <w:b/>
          <w:bCs/>
        </w:rPr>
        <w:t>David Francis</w:t>
      </w:r>
      <w:r w:rsidRPr="00861031">
        <w:t xml:space="preserve"> </w:t>
      </w:r>
      <w:r>
        <w:t>–</w:t>
      </w:r>
      <w:r w:rsidRPr="00861031">
        <w:t xml:space="preserve"> Chair, National Biodiversity Offsets Conference, 2019</w:t>
      </w:r>
      <w:r>
        <w:t>–</w:t>
      </w:r>
      <w:r w:rsidRPr="00861031">
        <w:t>2025</w:t>
      </w:r>
    </w:p>
    <w:p w14:paraId="170B3D1A" w14:textId="77777777" w:rsidR="00861031" w:rsidRPr="00861031" w:rsidRDefault="00861031" w:rsidP="00861031">
      <w:pPr>
        <w:numPr>
          <w:ilvl w:val="0"/>
          <w:numId w:val="1"/>
        </w:numPr>
      </w:pPr>
      <w:r w:rsidRPr="00861031">
        <w:rPr>
          <w:b/>
          <w:bCs/>
        </w:rPr>
        <w:t>Andrew Morison</w:t>
      </w:r>
      <w:r w:rsidRPr="00861031">
        <w:t xml:space="preserve"> </w:t>
      </w:r>
      <w:r>
        <w:t>–</w:t>
      </w:r>
      <w:r w:rsidRPr="00861031">
        <w:t xml:space="preserve"> National Biodiversity Offsets Conference Committee</w:t>
      </w:r>
    </w:p>
    <w:p w14:paraId="0FEFA79B" w14:textId="77777777" w:rsidR="00861031" w:rsidRPr="00861031" w:rsidRDefault="00861031" w:rsidP="00861031">
      <w:pPr>
        <w:numPr>
          <w:ilvl w:val="0"/>
          <w:numId w:val="1"/>
        </w:numPr>
      </w:pPr>
      <w:r w:rsidRPr="00861031">
        <w:rPr>
          <w:b/>
          <w:bCs/>
        </w:rPr>
        <w:t>Dr Garry Middle</w:t>
      </w:r>
      <w:r w:rsidRPr="00861031">
        <w:t xml:space="preserve"> </w:t>
      </w:r>
      <w:r>
        <w:t>–</w:t>
      </w:r>
      <w:r w:rsidRPr="00861031">
        <w:t xml:space="preserve"> Chair, National Biodiversity Offsets Conference, 2026+</w:t>
      </w:r>
    </w:p>
    <w:p w14:paraId="2533C84B" w14:textId="77777777" w:rsidR="00861031" w:rsidRPr="00861031" w:rsidRDefault="00861031" w:rsidP="00861031">
      <w:pPr>
        <w:numPr>
          <w:ilvl w:val="0"/>
          <w:numId w:val="1"/>
        </w:numPr>
      </w:pPr>
      <w:r w:rsidRPr="00861031">
        <w:rPr>
          <w:b/>
          <w:bCs/>
        </w:rPr>
        <w:t>Dr Steven Ward</w:t>
      </w:r>
      <w:r w:rsidRPr="00861031">
        <w:t xml:space="preserve"> </w:t>
      </w:r>
      <w:r>
        <w:t>–</w:t>
      </w:r>
      <w:r w:rsidRPr="00861031">
        <w:t xml:space="preserve"> National Biodiversity Offsets Conference Committee</w:t>
      </w:r>
    </w:p>
    <w:p w14:paraId="2B3D2035" w14:textId="77777777" w:rsidR="00861031" w:rsidRPr="00861031" w:rsidRDefault="00861031" w:rsidP="00861031">
      <w:pPr>
        <w:numPr>
          <w:ilvl w:val="0"/>
          <w:numId w:val="1"/>
        </w:numPr>
      </w:pPr>
      <w:r w:rsidRPr="00861031">
        <w:rPr>
          <w:b/>
          <w:bCs/>
        </w:rPr>
        <w:t>Dr Amanda Griffiths</w:t>
      </w:r>
      <w:r w:rsidRPr="00861031">
        <w:t xml:space="preserve"> </w:t>
      </w:r>
      <w:r>
        <w:t>–</w:t>
      </w:r>
      <w:r w:rsidRPr="00861031">
        <w:t xml:space="preserve"> EIANZ Biodiversity Offsets Community of Practice</w:t>
      </w:r>
    </w:p>
    <w:p w14:paraId="7E3C9DAF" w14:textId="19EF2A74" w:rsidR="00861031" w:rsidRPr="00861031" w:rsidRDefault="00861031" w:rsidP="00861031">
      <w:pPr>
        <w:numPr>
          <w:ilvl w:val="0"/>
          <w:numId w:val="1"/>
        </w:numPr>
      </w:pPr>
      <w:r w:rsidRPr="00861031">
        <w:rPr>
          <w:b/>
          <w:bCs/>
        </w:rPr>
        <w:t>Kelly Matthews</w:t>
      </w:r>
      <w:r w:rsidRPr="00861031">
        <w:t xml:space="preserve"> </w:t>
      </w:r>
      <w:r>
        <w:t>–</w:t>
      </w:r>
      <w:r w:rsidRPr="00861031">
        <w:t xml:space="preserve"> Chair, EIANZ Ecology Section</w:t>
      </w:r>
    </w:p>
    <w:p w14:paraId="199C4E6C" w14:textId="77777777" w:rsidR="00861031" w:rsidRPr="00861031" w:rsidRDefault="00000000" w:rsidP="00861031">
      <w:r>
        <w:pict w14:anchorId="7BB0012C">
          <v:rect id="_x0000_i1041" style="width:0;height:1.5pt" o:hralign="center" o:hrstd="t" o:hr="t" fillcolor="#a0a0a0" stroked="f"/>
        </w:pict>
      </w:r>
    </w:p>
    <w:p w14:paraId="1C793B8F" w14:textId="77777777" w:rsidR="00861031" w:rsidRPr="00861031" w:rsidRDefault="00861031" w:rsidP="00861031">
      <w:r w:rsidRPr="00861031">
        <w:rPr>
          <w:i/>
          <w:iCs/>
        </w:rPr>
        <w:t>Summary prepared from meeting notes and transcript, 15 May 2026.</w:t>
      </w:r>
    </w:p>
    <w:p w14:paraId="033358E7" w14:textId="1C169ADC" w:rsidR="005C3A8E" w:rsidRDefault="005C3A8E"/>
    <w:sectPr w:rsidR="005C3A8E">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E0C40" w14:textId="77777777" w:rsidR="00322498" w:rsidRDefault="00322498" w:rsidP="00861031">
      <w:pPr>
        <w:spacing w:after="0" w:line="240" w:lineRule="auto"/>
      </w:pPr>
      <w:r>
        <w:separator/>
      </w:r>
    </w:p>
  </w:endnote>
  <w:endnote w:type="continuationSeparator" w:id="0">
    <w:p w14:paraId="1C858403" w14:textId="77777777" w:rsidR="00322498" w:rsidRDefault="00322498" w:rsidP="00861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303E43" w14:textId="77777777" w:rsidR="00322498" w:rsidRDefault="00322498" w:rsidP="00861031">
      <w:pPr>
        <w:spacing w:after="0" w:line="240" w:lineRule="auto"/>
      </w:pPr>
      <w:r>
        <w:separator/>
      </w:r>
    </w:p>
  </w:footnote>
  <w:footnote w:type="continuationSeparator" w:id="0">
    <w:p w14:paraId="69E08405" w14:textId="77777777" w:rsidR="00322498" w:rsidRDefault="00322498" w:rsidP="00861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66B94" w14:textId="7759D242" w:rsidR="00861031" w:rsidRDefault="00861031">
    <w:pPr>
      <w:pStyle w:val="Header"/>
    </w:pPr>
    <w:r>
      <w:rPr>
        <w:noProof/>
      </w:rPr>
      <w:drawing>
        <wp:anchor distT="0" distB="0" distL="114300" distR="114300" simplePos="0" relativeHeight="251658240" behindDoc="1" locked="0" layoutInCell="1" allowOverlap="1" wp14:anchorId="4BE42530" wp14:editId="3900425B">
          <wp:simplePos x="0" y="0"/>
          <wp:positionH relativeFrom="column">
            <wp:posOffset>5057775</wp:posOffset>
          </wp:positionH>
          <wp:positionV relativeFrom="paragraph">
            <wp:posOffset>-173355</wp:posOffset>
          </wp:positionV>
          <wp:extent cx="1410335" cy="579120"/>
          <wp:effectExtent l="0" t="0" r="0" b="0"/>
          <wp:wrapTight wrapText="bothSides">
            <wp:wrapPolygon edited="0">
              <wp:start x="0" y="0"/>
              <wp:lineTo x="0" y="20605"/>
              <wp:lineTo x="21299" y="20605"/>
              <wp:lineTo x="21299" y="0"/>
              <wp:lineTo x="0" y="0"/>
            </wp:wrapPolygon>
          </wp:wrapTight>
          <wp:docPr id="4963592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359292" name="Picture 496359292"/>
                  <pic:cNvPicPr/>
                </pic:nvPicPr>
                <pic:blipFill>
                  <a:blip r:embed="rId1">
                    <a:extLst>
                      <a:ext uri="{28A0092B-C50C-407E-A947-70E740481C1C}">
                        <a14:useLocalDpi xmlns:a14="http://schemas.microsoft.com/office/drawing/2010/main" val="0"/>
                      </a:ext>
                    </a:extLst>
                  </a:blip>
                  <a:stretch>
                    <a:fillRect/>
                  </a:stretch>
                </pic:blipFill>
                <pic:spPr>
                  <a:xfrm>
                    <a:off x="0" y="0"/>
                    <a:ext cx="1410335" cy="5791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06272F"/>
    <w:multiLevelType w:val="multilevel"/>
    <w:tmpl w:val="C1BA9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CB78B8"/>
    <w:multiLevelType w:val="hybridMultilevel"/>
    <w:tmpl w:val="59184A0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931042020">
    <w:abstractNumId w:val="0"/>
  </w:num>
  <w:num w:numId="2" w16cid:durableId="787285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031"/>
    <w:rsid w:val="000F554A"/>
    <w:rsid w:val="00205DDA"/>
    <w:rsid w:val="00322498"/>
    <w:rsid w:val="003841D4"/>
    <w:rsid w:val="005C3A8E"/>
    <w:rsid w:val="00687DA3"/>
    <w:rsid w:val="00861031"/>
    <w:rsid w:val="008C1029"/>
    <w:rsid w:val="009C508D"/>
    <w:rsid w:val="00B978BD"/>
    <w:rsid w:val="00C65181"/>
    <w:rsid w:val="00D86008"/>
    <w:rsid w:val="00F8538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6C6E77"/>
  <w15:chartTrackingRefBased/>
  <w15:docId w15:val="{5F415A28-E1B4-4F56-9D5F-A2DDD056D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10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10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10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10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10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10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10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10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10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10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10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10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10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10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10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10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10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1031"/>
    <w:rPr>
      <w:rFonts w:eastAsiaTheme="majorEastAsia" w:cstheme="majorBidi"/>
      <w:color w:val="272727" w:themeColor="text1" w:themeTint="D8"/>
    </w:rPr>
  </w:style>
  <w:style w:type="paragraph" w:styleId="Title">
    <w:name w:val="Title"/>
    <w:basedOn w:val="Normal"/>
    <w:next w:val="Normal"/>
    <w:link w:val="TitleChar"/>
    <w:uiPriority w:val="10"/>
    <w:qFormat/>
    <w:rsid w:val="008610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10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10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10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1031"/>
    <w:pPr>
      <w:spacing w:before="160"/>
      <w:jc w:val="center"/>
    </w:pPr>
    <w:rPr>
      <w:i/>
      <w:iCs/>
      <w:color w:val="404040" w:themeColor="text1" w:themeTint="BF"/>
    </w:rPr>
  </w:style>
  <w:style w:type="character" w:customStyle="1" w:styleId="QuoteChar">
    <w:name w:val="Quote Char"/>
    <w:basedOn w:val="DefaultParagraphFont"/>
    <w:link w:val="Quote"/>
    <w:uiPriority w:val="29"/>
    <w:rsid w:val="00861031"/>
    <w:rPr>
      <w:i/>
      <w:iCs/>
      <w:color w:val="404040" w:themeColor="text1" w:themeTint="BF"/>
    </w:rPr>
  </w:style>
  <w:style w:type="paragraph" w:styleId="ListParagraph">
    <w:name w:val="List Paragraph"/>
    <w:basedOn w:val="Normal"/>
    <w:uiPriority w:val="34"/>
    <w:qFormat/>
    <w:rsid w:val="00861031"/>
    <w:pPr>
      <w:ind w:left="720"/>
      <w:contextualSpacing/>
    </w:pPr>
  </w:style>
  <w:style w:type="character" w:styleId="IntenseEmphasis">
    <w:name w:val="Intense Emphasis"/>
    <w:basedOn w:val="DefaultParagraphFont"/>
    <w:uiPriority w:val="21"/>
    <w:qFormat/>
    <w:rsid w:val="00861031"/>
    <w:rPr>
      <w:i/>
      <w:iCs/>
      <w:color w:val="0F4761" w:themeColor="accent1" w:themeShade="BF"/>
    </w:rPr>
  </w:style>
  <w:style w:type="paragraph" w:styleId="IntenseQuote">
    <w:name w:val="Intense Quote"/>
    <w:basedOn w:val="Normal"/>
    <w:next w:val="Normal"/>
    <w:link w:val="IntenseQuoteChar"/>
    <w:uiPriority w:val="30"/>
    <w:qFormat/>
    <w:rsid w:val="00861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1031"/>
    <w:rPr>
      <w:i/>
      <w:iCs/>
      <w:color w:val="0F4761" w:themeColor="accent1" w:themeShade="BF"/>
    </w:rPr>
  </w:style>
  <w:style w:type="character" w:styleId="IntenseReference">
    <w:name w:val="Intense Reference"/>
    <w:basedOn w:val="DefaultParagraphFont"/>
    <w:uiPriority w:val="32"/>
    <w:qFormat/>
    <w:rsid w:val="00861031"/>
    <w:rPr>
      <w:b/>
      <w:bCs/>
      <w:smallCaps/>
      <w:color w:val="0F4761" w:themeColor="accent1" w:themeShade="BF"/>
      <w:spacing w:val="5"/>
    </w:rPr>
  </w:style>
  <w:style w:type="paragraph" w:styleId="Header">
    <w:name w:val="header"/>
    <w:basedOn w:val="Normal"/>
    <w:link w:val="HeaderChar"/>
    <w:uiPriority w:val="99"/>
    <w:unhideWhenUsed/>
    <w:rsid w:val="008610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031"/>
  </w:style>
  <w:style w:type="paragraph" w:styleId="Footer">
    <w:name w:val="footer"/>
    <w:basedOn w:val="Normal"/>
    <w:link w:val="FooterChar"/>
    <w:uiPriority w:val="99"/>
    <w:unhideWhenUsed/>
    <w:rsid w:val="008610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031"/>
  </w:style>
  <w:style w:type="paragraph" w:styleId="Revision">
    <w:name w:val="Revision"/>
    <w:hidden/>
    <w:uiPriority w:val="99"/>
    <w:semiHidden/>
    <w:rsid w:val="00687DA3"/>
    <w:pPr>
      <w:spacing w:after="0" w:line="240" w:lineRule="auto"/>
    </w:pPr>
  </w:style>
  <w:style w:type="paragraph" w:styleId="PlainText">
    <w:name w:val="Plain Text"/>
    <w:basedOn w:val="Normal"/>
    <w:link w:val="PlainTextChar"/>
    <w:uiPriority w:val="99"/>
    <w:unhideWhenUsed/>
    <w:rsid w:val="00F8538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85381"/>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72f76275-2553-466f-bdf1-4af96b2ca92b">DF2ANRC5PWSY-2007149108-154276</_dlc_DocId>
    <_dlc_DocIdUrl xmlns="72f76275-2553-466f-bdf1-4af96b2ca92b">
      <Url>https://eianz.sharepoint.com/sites/CentralOffice2/_layouts/15/DocIdRedir.aspx?ID=DF2ANRC5PWSY-2007149108-154276</Url>
      <Description>DF2ANRC5PWSY-2007149108-154276</Description>
    </_dlc_DocIdUrl>
    <lcf76f155ced4ddcb4097134ff3c332f xmlns="fed66a11-0574-486e-9196-72afe58a09c4">
      <Terms xmlns="http://schemas.microsoft.com/office/infopath/2007/PartnerControls"/>
    </lcf76f155ced4ddcb4097134ff3c332f>
    <TaxCatchAll xmlns="72f76275-2553-466f-bdf1-4af96b2ca9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4EC4DF42E484C4189F4FD7B60D9A8DB" ma:contentTypeVersion="16" ma:contentTypeDescription="Create a new document." ma:contentTypeScope="" ma:versionID="252802942f4deed4e5b2686204db040b">
  <xsd:schema xmlns:xsd="http://www.w3.org/2001/XMLSchema" xmlns:xs="http://www.w3.org/2001/XMLSchema" xmlns:p="http://schemas.microsoft.com/office/2006/metadata/properties" xmlns:ns2="72f76275-2553-466f-bdf1-4af96b2ca92b" xmlns:ns3="fed66a11-0574-486e-9196-72afe58a09c4" targetNamespace="http://schemas.microsoft.com/office/2006/metadata/properties" ma:root="true" ma:fieldsID="4921b7300b81b7e5529166055ecdeb99" ns2:_="" ns3:_="">
    <xsd:import namespace="72f76275-2553-466f-bdf1-4af96b2ca92b"/>
    <xsd:import namespace="fed66a11-0574-486e-9196-72afe58a09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2:SharedWithUsers" minOccurs="0"/>
                <xsd:element ref="ns2:SharedWithDetail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76275-2553-466f-bdf1-4af96b2ca92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111236f3-bc81-40ff-a018-912dd30060b1}" ma:internalName="TaxCatchAll" ma:showField="CatchAllData" ma:web="72f76275-2553-466f-bdf1-4af96b2ca92b">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d66a11-0574-486e-9196-72afe58a09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5554d5-acd9-4d85-8ab8-71314f788302"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92AD09-15E0-4521-B764-BB8A3D3FE153}">
  <ds:schemaRefs>
    <ds:schemaRef ds:uri="http://schemas.microsoft.com/office/2006/metadata/properties"/>
    <ds:schemaRef ds:uri="http://schemas.microsoft.com/office/infopath/2007/PartnerControls"/>
    <ds:schemaRef ds:uri="72f76275-2553-466f-bdf1-4af96b2ca92b"/>
    <ds:schemaRef ds:uri="fed66a11-0574-486e-9196-72afe58a09c4"/>
  </ds:schemaRefs>
</ds:datastoreItem>
</file>

<file path=customXml/itemProps2.xml><?xml version="1.0" encoding="utf-8"?>
<ds:datastoreItem xmlns:ds="http://schemas.openxmlformats.org/officeDocument/2006/customXml" ds:itemID="{DB3630CC-FF0A-4F7B-8796-23837471F896}">
  <ds:schemaRefs>
    <ds:schemaRef ds:uri="http://schemas.microsoft.com/sharepoint/v3/contenttype/forms"/>
  </ds:schemaRefs>
</ds:datastoreItem>
</file>

<file path=customXml/itemProps3.xml><?xml version="1.0" encoding="utf-8"?>
<ds:datastoreItem xmlns:ds="http://schemas.openxmlformats.org/officeDocument/2006/customXml" ds:itemID="{31B98DD9-6D51-4291-8AA8-34D7330768AF}">
  <ds:schemaRefs>
    <ds:schemaRef ds:uri="http://schemas.microsoft.com/sharepoint/events"/>
  </ds:schemaRefs>
</ds:datastoreItem>
</file>

<file path=customXml/itemProps4.xml><?xml version="1.0" encoding="utf-8"?>
<ds:datastoreItem xmlns:ds="http://schemas.openxmlformats.org/officeDocument/2006/customXml" ds:itemID="{24961861-A56C-4003-A3DF-582BCF9CB2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76275-2553-466f-bdf1-4af96b2ca92b"/>
    <ds:schemaRef ds:uri="fed66a11-0574-486e-9196-72afe58a09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6</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Jonathon Miller</dc:creator>
  <cp:keywords/>
  <dc:description/>
  <cp:lastModifiedBy>Jonathon Miller</cp:lastModifiedBy>
  <cp:revision>7</cp:revision>
  <dcterms:created xsi:type="dcterms:W3CDTF">2026-05-15T07:01:00Z</dcterms:created>
  <dcterms:modified xsi:type="dcterms:W3CDTF">2026-05-15T07:45:00Z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02d35e15-1c49-419a-b1f7-868183a06ceb</vt:lpwstr>
  </property>
  <property fmtid="{D5CDD505-2E9C-101B-9397-08002B2CF9AE}" pid="3" name="MediaServiceImageTags">
    <vt:lpwstr/>
  </property>
  <property fmtid="{D5CDD505-2E9C-101B-9397-08002B2CF9AE}" pid="4" name="ContentTypeId">
    <vt:lpwstr>0x01010034EC4DF42E484C4189F4FD7B60D9A8DB</vt:lpwstr>
  </property>
  <property fmtid="{D5CDD505-2E9C-101B-9397-08002B2CF9AE}" pid="5" name="_dlc_DocIdItemGuid">
    <vt:lpwstr>327cbbcc-1567-4fef-ad6a-d322c3efd182</vt:lpwstr>
  </property>
  <property fmtid="{D5CDD505-2E9C-101B-9397-08002B2CF9AE}" pid="7" name="docLang">
    <vt:lpwstr>en</vt:lpwstr>
  </property>
</Properties>
</file>